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5019040" cy="7428865"/>
            <wp:effectExtent l="0" t="0" r="10160" b="635"/>
            <wp:docPr id="102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7428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000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超研澤新藝體">
    <w:altName w:val="Segoe Print"/>
    <w:panose1 w:val="02010609010000010101"/>
    <w:charset w:val="00"/>
    <w:family w:val="auto"/>
    <w:pitch w:val="default"/>
    <w:sig w:usb0="00000000" w:usb1="00000000" w:usb2="00000000" w:usb3="00000000" w:csb0="00000000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朗倩（非商用）粗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朗倩（非商用）细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金梅梯形變形字體">
    <w:altName w:val="Segoe Print"/>
    <w:panose1 w:val="02010609000000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000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000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A1028"/>
    <w:rsid w:val="618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团市委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2019-07-13T08:28:00Z</dcterms:created>
  <dc:creator>梁希</dc:creator>
  <cp:lastModifiedBy>梁希</cp:lastModifiedBy>
  <dcterms:modified xsi:type="dcterms:W3CDTF">2019-07-13T08:29:03Z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